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1D" w:rsidRPr="00AB653A" w:rsidRDefault="00947C1D" w:rsidP="00947C1D">
      <w:pPr>
        <w:spacing w:after="0" w:line="240" w:lineRule="auto"/>
        <w:rPr>
          <w:rFonts w:ascii="Calibri" w:eastAsia="Times New Roman" w:hAnsi="Calibri" w:cs="Arial"/>
          <w:color w:val="535353"/>
          <w:lang w:eastAsia="pt-PT"/>
        </w:rPr>
      </w:pPr>
      <w:r w:rsidRPr="00AB653A">
        <w:rPr>
          <w:rFonts w:ascii="Calibri" w:eastAsia="Times New Roman" w:hAnsi="Calibri" w:cs="Arial"/>
          <w:noProof/>
          <w:color w:val="464646"/>
          <w:lang w:eastAsia="pt-PT"/>
        </w:rPr>
        <w:drawing>
          <wp:inline distT="0" distB="0" distL="0" distR="0" wp14:anchorId="65ED0C00" wp14:editId="406455B1">
            <wp:extent cx="2714625" cy="542925"/>
            <wp:effectExtent l="0" t="0" r="9525" b="9525"/>
            <wp:docPr id="1" name="Imagem 1" descr="Diário Imobiliário">
              <a:hlinkClick xmlns:a="http://schemas.openxmlformats.org/drawingml/2006/main" r:id="rId5" tooltip="&quot;Diário Imobiliár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ário Imobiliário">
                      <a:hlinkClick r:id="rId5" tooltip="&quot;Diário Imobiliár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C1D" w:rsidRPr="00AB653A" w:rsidRDefault="00947C1D" w:rsidP="00947C1D">
      <w:pPr>
        <w:pBdr>
          <w:bottom w:val="single" w:sz="6" w:space="1" w:color="auto"/>
        </w:pBdr>
        <w:spacing w:after="0" w:line="240" w:lineRule="auto"/>
        <w:jc w:val="center"/>
        <w:rPr>
          <w:rFonts w:ascii="Calibri" w:eastAsia="Times New Roman" w:hAnsi="Calibri" w:cs="Arial"/>
          <w:vanish/>
          <w:lang w:eastAsia="pt-PT"/>
        </w:rPr>
      </w:pPr>
      <w:r w:rsidRPr="00AB653A">
        <w:rPr>
          <w:rFonts w:ascii="Calibri" w:eastAsia="Times New Roman" w:hAnsi="Calibri" w:cs="Arial"/>
          <w:vanish/>
          <w:lang w:eastAsia="pt-PT"/>
        </w:rPr>
        <w:t>Parte superior do formulário</w:t>
      </w:r>
    </w:p>
    <w:p w:rsidR="00947C1D" w:rsidRPr="00AB653A" w:rsidRDefault="00947C1D" w:rsidP="00947C1D">
      <w:pPr>
        <w:spacing w:line="240" w:lineRule="auto"/>
        <w:rPr>
          <w:rFonts w:ascii="Calibri" w:eastAsia="Times New Roman" w:hAnsi="Calibri" w:cs="Arial"/>
          <w:color w:val="535353"/>
          <w:lang w:eastAsia="pt-PT"/>
        </w:rPr>
      </w:pPr>
    </w:p>
    <w:p w:rsidR="00947C1D" w:rsidRPr="00AB653A" w:rsidRDefault="00947C1D" w:rsidP="00947C1D">
      <w:pPr>
        <w:spacing w:after="0" w:line="630" w:lineRule="atLeast"/>
        <w:outlineLvl w:val="0"/>
        <w:rPr>
          <w:rFonts w:ascii="Calibri" w:eastAsia="Times New Roman" w:hAnsi="Calibri" w:cs="Arial"/>
          <w:color w:val="007EA6"/>
          <w:kern w:val="36"/>
          <w:lang w:eastAsia="pt-PT"/>
        </w:rPr>
      </w:pPr>
      <w:r w:rsidRPr="00AB653A">
        <w:rPr>
          <w:rFonts w:ascii="Calibri" w:eastAsia="Times New Roman" w:hAnsi="Calibri" w:cs="Arial"/>
          <w:color w:val="007EA6"/>
          <w:kern w:val="36"/>
          <w:lang w:eastAsia="pt-PT"/>
        </w:rPr>
        <w:t>Manutenção do património escolar: a importância da comunidade</w:t>
      </w:r>
    </w:p>
    <w:p w:rsidR="00947C1D" w:rsidRPr="00AB653A" w:rsidRDefault="00947C1D" w:rsidP="00947C1D">
      <w:pPr>
        <w:spacing w:before="75" w:after="75" w:line="315" w:lineRule="atLeast"/>
        <w:outlineLvl w:val="4"/>
        <w:rPr>
          <w:rFonts w:ascii="Calibri" w:eastAsia="Times New Roman" w:hAnsi="Calibri" w:cs="Arial"/>
          <w:color w:val="333333"/>
          <w:lang w:eastAsia="pt-PT"/>
        </w:rPr>
      </w:pPr>
      <w:r w:rsidRPr="00AB653A">
        <w:rPr>
          <w:rFonts w:ascii="Calibri" w:eastAsia="Times New Roman" w:hAnsi="Calibri" w:cs="Arial"/>
          <w:color w:val="333333"/>
          <w:lang w:eastAsia="pt-PT"/>
        </w:rPr>
        <w:t xml:space="preserve">03 </w:t>
      </w:r>
      <w:proofErr w:type="gramStart"/>
      <w:r w:rsidRPr="00AB653A">
        <w:rPr>
          <w:rFonts w:ascii="Calibri" w:eastAsia="Times New Roman" w:hAnsi="Calibri" w:cs="Arial"/>
          <w:color w:val="333333"/>
          <w:lang w:eastAsia="pt-PT"/>
        </w:rPr>
        <w:t>de</w:t>
      </w:r>
      <w:proofErr w:type="gramEnd"/>
      <w:r w:rsidRPr="00AB653A">
        <w:rPr>
          <w:rFonts w:ascii="Calibri" w:eastAsia="Times New Roman" w:hAnsi="Calibri" w:cs="Arial"/>
          <w:color w:val="333333"/>
          <w:lang w:eastAsia="pt-PT"/>
        </w:rPr>
        <w:t xml:space="preserve"> Junho de 2015 </w:t>
      </w:r>
    </w:p>
    <w:p w:rsidR="00947C1D" w:rsidRPr="00AB653A" w:rsidRDefault="00947C1D" w:rsidP="00EE2AFD">
      <w:pPr>
        <w:spacing w:after="0" w:line="240" w:lineRule="auto"/>
        <w:jc w:val="both"/>
        <w:rPr>
          <w:rFonts w:ascii="Calibri" w:eastAsia="Times New Roman" w:hAnsi="Calibri" w:cs="Arial"/>
          <w:color w:val="535353"/>
          <w:lang w:eastAsia="pt-PT"/>
        </w:rPr>
      </w:pPr>
      <w:r w:rsidRPr="00AB653A">
        <w:rPr>
          <w:rFonts w:ascii="Calibri" w:eastAsia="Times New Roman" w:hAnsi="Calibri" w:cs="Arial"/>
          <w:noProof/>
          <w:color w:val="535353"/>
          <w:lang w:eastAsia="pt-PT"/>
        </w:rPr>
        <w:drawing>
          <wp:inline distT="0" distB="0" distL="0" distR="0" wp14:anchorId="416C2E58" wp14:editId="525B157C">
            <wp:extent cx="5905500" cy="3810000"/>
            <wp:effectExtent l="0" t="0" r="0" b="0"/>
            <wp:docPr id="4" name="Imagem 4" descr="Anabela Pous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abela Pousei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3A" w:rsidRPr="00AB653A" w:rsidRDefault="00AB653A" w:rsidP="00947C1D">
      <w:pPr>
        <w:spacing w:after="158" w:line="315" w:lineRule="atLeast"/>
        <w:rPr>
          <w:rFonts w:ascii="Calibri" w:eastAsia="Times New Roman" w:hAnsi="Calibri" w:cs="Arial"/>
          <w:color w:val="535353"/>
          <w:lang w:eastAsia="pt-PT"/>
        </w:rPr>
      </w:pPr>
    </w:p>
    <w:p w:rsidR="00AB653A" w:rsidRP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t>Desde 2007, ano em que foi aprovado o Programa de Modernização Destinado ao Ensino Secundário (RCM 1/2007 de 3/01), foi realizado um avultado investimento na reabilitação e construção nova em mais de duas centenas de estabelecimentos de ensino.</w:t>
      </w:r>
    </w:p>
    <w:p w:rsidR="00AB653A" w:rsidRP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br/>
        <w:t>Não foi concebido propriamente uma escola tipo, mas o modelo de escola adoptado inclui seis grandes áreas de intervenção: Núcleo de Ciência e Tecnologia e/ou Artes; Núcleo de Biblioteca/Centro de Recursos e de Conhecimento e Memória (espaço museológico); Espaço Escola (Espaço Estudante, Espaço Professor, Loja Escolar e Espaço Alimentação); Abertura à Comunidade; Conforto Térmico e Acústico, Eficiência e Auto – suficiência Energética; Modelo de Gestão em Fase de Funcionamento.</w:t>
      </w:r>
    </w:p>
    <w:p w:rsidR="00AB653A" w:rsidRP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br/>
        <w:t>Este programa, sem dúvida ambicioso, implicou e continua a reclamar níveis de financiamento significativos, para a sustentabilidade das intervenções efectuadas.</w:t>
      </w:r>
    </w:p>
    <w:p w:rsidR="00AB653A" w:rsidRP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br/>
        <w:t xml:space="preserve">De facto, quer para as escolas recentemente reabilitadas e construídas, quer para as restantes milhares de escolas, com tutela central, municipal ou particular, é fundamental a existência de programas de manutenção e conservação de edifícios e equipamentos escolares. </w:t>
      </w:r>
    </w:p>
    <w:p w:rsidR="00AB653A" w:rsidRP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br/>
        <w:t xml:space="preserve">Esses programas e manuais, claro que existem, mas há que saber se também existem os meios de todo o tipo necessários para os executar. Ou seja, existem no papel, mas estarão a ser implementados? </w:t>
      </w:r>
    </w:p>
    <w:p w:rsidR="00331107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lastRenderedPageBreak/>
        <w:br/>
        <w:t xml:space="preserve">A manutenção e conservação das escolas, tanto poderão ser realizadas </w:t>
      </w:r>
      <w:proofErr w:type="spellStart"/>
      <w:r w:rsidRPr="00AB653A">
        <w:rPr>
          <w:lang w:eastAsia="pt-PT"/>
        </w:rPr>
        <w:t>pelas</w:t>
      </w:r>
      <w:proofErr w:type="spellEnd"/>
      <w:r w:rsidRPr="00AB653A">
        <w:rPr>
          <w:lang w:eastAsia="pt-PT"/>
        </w:rPr>
        <w:t xml:space="preserve"> próprias </w:t>
      </w:r>
      <w:r w:rsidR="00AB653A">
        <w:rPr>
          <w:lang w:eastAsia="pt-PT"/>
        </w:rPr>
        <w:t>e</w:t>
      </w:r>
      <w:r w:rsidRPr="00AB653A">
        <w:rPr>
          <w:lang w:eastAsia="pt-PT"/>
        </w:rPr>
        <w:t>ntidades proprietárias ou detentoras dos edifícios, como executadas por entidades terceiras e</w:t>
      </w:r>
      <w:r w:rsidR="00AB653A">
        <w:rPr>
          <w:lang w:eastAsia="pt-PT"/>
        </w:rPr>
        <w:t xml:space="preserve">specializadas em tal </w:t>
      </w:r>
      <w:proofErr w:type="spellStart"/>
      <w:r w:rsidR="00AB653A">
        <w:rPr>
          <w:lang w:eastAsia="pt-PT"/>
        </w:rPr>
        <w:t>atividade</w:t>
      </w:r>
      <w:proofErr w:type="spellEnd"/>
      <w:r w:rsidR="00AB653A">
        <w:rPr>
          <w:lang w:eastAsia="pt-PT"/>
        </w:rPr>
        <w:t>.</w:t>
      </w:r>
    </w:p>
    <w:p w:rsidR="00331107" w:rsidRDefault="00331107" w:rsidP="00AB653A">
      <w:pPr>
        <w:pStyle w:val="SemEspaamento"/>
        <w:jc w:val="both"/>
        <w:rPr>
          <w:lang w:eastAsia="pt-PT"/>
        </w:rPr>
      </w:pPr>
      <w:bookmarkStart w:id="0" w:name="_GoBack"/>
      <w:bookmarkEnd w:id="0"/>
    </w:p>
    <w:p w:rsid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t>O que não é possível preterir, é o envolvimento e contribuição de toda a comunidade educativa, na gestão e preservação do património escolar. E nesse âmbito, pouco está feito e muito há a realizar.</w:t>
      </w:r>
    </w:p>
    <w:p w:rsid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br/>
        <w:t>Através de vários inquéritos, realizados pelas próprias promotoras e gestoras dos estabelecimentos de ensino ou por entidades independentes, verifica-se que – ultrapassado o período sempre conturbado das obras – existe, por parte da comunidade educativa, um grau de satisfação relevante em relação à funcionalidade e qualidade dos novos espaços e equipamentos escolares e à melhoria das condições de conforto, qualidade do ar e acústica.</w:t>
      </w:r>
      <w:r w:rsidRPr="00AB653A">
        <w:rPr>
          <w:lang w:eastAsia="pt-PT"/>
        </w:rPr>
        <w:br/>
        <w:t>Mas os mesmos inquéritos realçam também que a comunidade escolar deseja o estabelecimento de uma dinâmica de relacionamento, que permita optimizar a gestão e manutenção dos espaços escolares após as intervenções de que foram alvo.</w:t>
      </w:r>
    </w:p>
    <w:p w:rsidR="00331107" w:rsidRDefault="00331107" w:rsidP="00AB653A">
      <w:pPr>
        <w:pStyle w:val="SemEspaamento"/>
        <w:jc w:val="both"/>
        <w:rPr>
          <w:lang w:eastAsia="pt-PT"/>
        </w:rPr>
      </w:pPr>
    </w:p>
    <w:p w:rsid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t xml:space="preserve">De facto, se no âmbito das intervenções estritamente técnicas, a questão central é o seu financiamento, dadas as limitações orçamentais, já no que respeita à participação da comunidade escolar na manutenção, preservação e conservação do património escolar, há um </w:t>
      </w:r>
      <w:r w:rsidR="00AB653A">
        <w:rPr>
          <w:lang w:eastAsia="pt-PT"/>
        </w:rPr>
        <w:t xml:space="preserve">longo </w:t>
      </w:r>
      <w:r w:rsidRPr="00AB653A">
        <w:rPr>
          <w:lang w:eastAsia="pt-PT"/>
        </w:rPr>
        <w:t>caminho a percorrer.</w:t>
      </w:r>
    </w:p>
    <w:p w:rsidR="00AB653A" w:rsidRDefault="00AB653A" w:rsidP="00AB653A">
      <w:pPr>
        <w:pStyle w:val="SemEspaamento"/>
        <w:jc w:val="both"/>
        <w:rPr>
          <w:lang w:eastAsia="pt-PT"/>
        </w:rPr>
      </w:pPr>
    </w:p>
    <w:p w:rsid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t>As centenas de regulamentos e manuais sobre esta matéria permitem concluir que, actualmente, a parte dedicada à participação da sociedade civil é meramente programática, restringida à enumeração de princípios, direitos e questões de cidadania, que sendo justificados e úteis, não resultam na verdade em qualquer intervenção prática e efectiva da comunidade escolar nesse desiderato.</w:t>
      </w:r>
    </w:p>
    <w:p w:rsidR="00AB653A" w:rsidRDefault="00AB653A" w:rsidP="00AB653A">
      <w:pPr>
        <w:pStyle w:val="SemEspaamento"/>
        <w:jc w:val="both"/>
        <w:rPr>
          <w:lang w:eastAsia="pt-PT"/>
        </w:rPr>
      </w:pPr>
    </w:p>
    <w:p w:rsid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t>O primeiro interessado no bom funcionamento da escola é a comunidade que ela serve e também é essa comunidade que, em primeiro lugar, poderá detetar os problemas existentes e propor, assim, a sua correção. Por conseguinte, a participação da comunidade é imprescindível e de fundamental importância para que os cidadãos se considerem também responsáveis pelo ambiente escolar, colaborando activamente na integridade física da escola. Ou seja, assumindo que a escola é património da comunidade.</w:t>
      </w:r>
    </w:p>
    <w:p w:rsidR="00AB653A" w:rsidRDefault="00AB653A" w:rsidP="00AB653A">
      <w:pPr>
        <w:pStyle w:val="SemEspaamento"/>
        <w:jc w:val="both"/>
        <w:rPr>
          <w:lang w:eastAsia="pt-PT"/>
        </w:rPr>
      </w:pPr>
    </w:p>
    <w:p w:rsidR="00AB653A" w:rsidRDefault="00947C1D" w:rsidP="00AB653A">
      <w:pPr>
        <w:pStyle w:val="SemEspaamento"/>
        <w:jc w:val="both"/>
        <w:rPr>
          <w:lang w:eastAsia="pt-PT"/>
        </w:rPr>
      </w:pPr>
      <w:r w:rsidRPr="00AB653A">
        <w:rPr>
          <w:lang w:eastAsia="pt-PT"/>
        </w:rPr>
        <w:t xml:space="preserve">Esta lacuna nos nossos hábitos colectivos terá de ser superada. Cumpre encontrar o modo de motivar esta participação e implantar uma cultura de consciencialização e conjugação de esforços para melhorar os padrões de utilização e qualidade do património escolar. O projeto pedagógico também depende dessas premissas e não apenas de </w:t>
      </w:r>
      <w:proofErr w:type="spellStart"/>
      <w:r w:rsidRPr="00AB653A">
        <w:rPr>
          <w:lang w:eastAsia="pt-PT"/>
        </w:rPr>
        <w:t>aspetos</w:t>
      </w:r>
      <w:proofErr w:type="spellEnd"/>
      <w:r w:rsidRPr="00AB653A">
        <w:rPr>
          <w:lang w:eastAsia="pt-PT"/>
        </w:rPr>
        <w:t xml:space="preserve"> curriculares.</w:t>
      </w:r>
    </w:p>
    <w:p w:rsidR="00AB653A" w:rsidRDefault="00AB653A" w:rsidP="00AB653A">
      <w:pPr>
        <w:pStyle w:val="SemEspaamento"/>
        <w:jc w:val="both"/>
        <w:rPr>
          <w:lang w:eastAsia="pt-PT"/>
        </w:rPr>
      </w:pPr>
    </w:p>
    <w:p w:rsidR="00EE2AFD" w:rsidRDefault="00EE2AFD" w:rsidP="00AB653A">
      <w:pPr>
        <w:pStyle w:val="SemEspaamento"/>
        <w:jc w:val="both"/>
        <w:rPr>
          <w:b/>
          <w:bCs/>
          <w:lang w:eastAsia="pt-PT"/>
        </w:rPr>
      </w:pPr>
      <w:r>
        <w:rPr>
          <w:b/>
          <w:bCs/>
          <w:lang w:eastAsia="pt-PT"/>
        </w:rPr>
        <w:t xml:space="preserve">Anabela </w:t>
      </w:r>
      <w:r w:rsidR="00947C1D" w:rsidRPr="00AB653A">
        <w:rPr>
          <w:b/>
          <w:bCs/>
          <w:lang w:eastAsia="pt-PT"/>
        </w:rPr>
        <w:t>Pouseiro,</w:t>
      </w:r>
      <w:r>
        <w:rPr>
          <w:b/>
          <w:bCs/>
          <w:lang w:eastAsia="pt-PT"/>
        </w:rPr>
        <w:t xml:space="preserve"> </w:t>
      </w:r>
      <w:r w:rsidR="00947C1D" w:rsidRPr="00AB653A">
        <w:rPr>
          <w:b/>
          <w:bCs/>
          <w:lang w:eastAsia="pt-PT"/>
        </w:rPr>
        <w:t>jurista</w:t>
      </w:r>
    </w:p>
    <w:p w:rsidR="00EE2AFD" w:rsidRDefault="00EE2AFD" w:rsidP="00AB653A">
      <w:pPr>
        <w:pStyle w:val="SemEspaamento"/>
        <w:jc w:val="both"/>
        <w:rPr>
          <w:b/>
          <w:bCs/>
          <w:lang w:eastAsia="pt-PT"/>
        </w:rPr>
      </w:pPr>
    </w:p>
    <w:p w:rsidR="0007771C" w:rsidRDefault="0007771C" w:rsidP="0007771C">
      <w:pPr>
        <w:pStyle w:val="SemEspaamento"/>
        <w:ind w:left="708"/>
        <w:jc w:val="both"/>
        <w:rPr>
          <w:i/>
          <w:sz w:val="20"/>
          <w:szCs w:val="20"/>
          <w:lang w:eastAsia="pt-PT"/>
        </w:rPr>
      </w:pPr>
    </w:p>
    <w:p w:rsidR="00363025" w:rsidRPr="0007771C" w:rsidRDefault="00947C1D" w:rsidP="0007771C">
      <w:pPr>
        <w:pStyle w:val="SemEspaamento"/>
        <w:ind w:left="708"/>
        <w:jc w:val="both"/>
        <w:rPr>
          <w:rFonts w:ascii="Calibri" w:hAnsi="Calibri"/>
          <w:i/>
          <w:sz w:val="20"/>
          <w:szCs w:val="20"/>
        </w:rPr>
      </w:pPr>
      <w:r w:rsidRPr="0007771C">
        <w:rPr>
          <w:i/>
          <w:sz w:val="20"/>
          <w:szCs w:val="20"/>
          <w:lang w:eastAsia="pt-PT"/>
        </w:rPr>
        <w:t>*Texto inserido no âmbito do Projeto de I&amp;D – O envolvimento da comunidade educativa na</w:t>
      </w:r>
      <w:r w:rsidR="0007771C">
        <w:rPr>
          <w:i/>
          <w:sz w:val="20"/>
          <w:szCs w:val="20"/>
          <w:lang w:eastAsia="pt-PT"/>
        </w:rPr>
        <w:t xml:space="preserve"> </w:t>
      </w:r>
      <w:r w:rsidRPr="0007771C">
        <w:rPr>
          <w:i/>
          <w:sz w:val="20"/>
          <w:szCs w:val="20"/>
          <w:lang w:eastAsia="pt-PT"/>
        </w:rPr>
        <w:t>manutenção do património escolar</w:t>
      </w:r>
    </w:p>
    <w:sectPr w:rsidR="00363025" w:rsidRPr="0007771C" w:rsidSect="00AB653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83229"/>
    <w:multiLevelType w:val="multilevel"/>
    <w:tmpl w:val="0D7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1D"/>
    <w:rsid w:val="0007771C"/>
    <w:rsid w:val="00331107"/>
    <w:rsid w:val="00363025"/>
    <w:rsid w:val="006369A8"/>
    <w:rsid w:val="00947C1D"/>
    <w:rsid w:val="00AB653A"/>
    <w:rsid w:val="00E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F0FBA-DB45-47E9-83D8-E0DA9F9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B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0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839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60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iarioimobiliario.p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Antunes</dc:creator>
  <cp:keywords/>
  <dc:description/>
  <cp:lastModifiedBy>José Mendes</cp:lastModifiedBy>
  <cp:revision>6</cp:revision>
  <dcterms:created xsi:type="dcterms:W3CDTF">2015-06-16T18:43:00Z</dcterms:created>
  <dcterms:modified xsi:type="dcterms:W3CDTF">2015-06-17T11:16:00Z</dcterms:modified>
</cp:coreProperties>
</file>